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к приказу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торговли Удмуртской Республики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____________ 2024 года 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6 к приказу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и торговли Удмуртской Республики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«01» марта 2024 года №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Описание объектов инфраструктуры индустриального (промышленного) парка, промышленного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технопарка , текущий уровень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прогнозные значения потребления резидентами, потенциальными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резидентами и иными пользователями и резерва мощностей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969"/>
        <w:gridCol w:w="8"/>
        <w:gridCol w:w="4386"/>
        <w:gridCol w:w="8"/>
        <w:gridCol w:w="984"/>
        <w:gridCol w:w="8"/>
        <w:gridCol w:w="984"/>
        <w:gridCol w:w="8"/>
        <w:gridCol w:w="985"/>
        <w:gridCol w:w="8"/>
        <w:gridCol w:w="1267"/>
        <w:gridCol w:w="8"/>
      </w:tblGrid>
      <w:tr>
        <w:tblPrEx/>
        <w:trPr>
          <w:gridBefore w:val="2"/>
          <w:jc w:val="center"/>
        </w:trPr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371" w:type="dxa"/>
            <w:textDirection w:val="lrTb"/>
            <w:noWrap w:val="false"/>
          </w:tcPr>
          <w:p>
            <w:pPr>
              <w:pStyle w:val="837"/>
              <w:ind w:left="1545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инфраструктуры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7"/>
              <w:ind w:left="308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Х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*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Х + 1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Х + 9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23" w:type="dxa"/>
            <w:textDirection w:val="lrTb"/>
            <w:noWrap w:val="false"/>
          </w:tcPr>
          <w:p>
            <w:pPr>
              <w:pStyle w:val="837"/>
              <w:ind w:left="2996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Станции водозабора и водоподготовки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станции (с указанием типа)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70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  <w:vertAlign w:val="superscript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**</w:t>
            </w:r>
            <w:r>
              <w:rPr>
                <w:rStyle w:val="839"/>
                <w:sz w:val="26"/>
                <w:szCs w:val="26"/>
                <w:vertAlign w:val="superscript"/>
              </w:rPr>
            </w:r>
            <w:r>
              <w:rPr>
                <w:rStyle w:val="839"/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  <w:vertAlign w:val="superscript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***</w:t>
            </w:r>
            <w:r>
              <w:rPr>
                <w:rStyle w:val="839"/>
                <w:sz w:val="26"/>
                <w:szCs w:val="26"/>
                <w:vertAlign w:val="superscript"/>
              </w:rPr>
            </w:r>
            <w:r>
              <w:rPr>
                <w:rStyle w:val="839"/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23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водопроводной системы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69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2"/>
          <w:jc w:val="center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77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2.5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ind w:left="1882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</w:t>
            </w:r>
            <w:r>
              <w:rPr>
                <w:rStyle w:val="839"/>
                <w:sz w:val="26"/>
                <w:szCs w:val="26"/>
              </w:rPr>
              <w:t xml:space="preserve">канализирования</w:t>
            </w:r>
            <w:r>
              <w:rPr>
                <w:rStyle w:val="839"/>
                <w:sz w:val="26"/>
                <w:szCs w:val="26"/>
              </w:rPr>
              <w:t xml:space="preserve"> хозяйственных и бытовых стоков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3.5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системы сбора хозяйственных и бытовых стоков или системы ливневой канализации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69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4.5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Before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системы </w:t>
            </w:r>
            <w:r>
              <w:rPr>
                <w:rStyle w:val="839"/>
                <w:sz w:val="26"/>
                <w:szCs w:val="26"/>
              </w:rPr>
              <w:t xml:space="preserve">теплогенерации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(Гкал/ч)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(Гкал/ч),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5.5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системы поставки теплоносителя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69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</w:t>
            </w:r>
            <w:r>
              <w:rPr>
                <w:rStyle w:val="839"/>
                <w:sz w:val="26"/>
                <w:szCs w:val="26"/>
              </w:rPr>
              <w:t xml:space="preserve">(</w:t>
            </w:r>
            <w:r>
              <w:rPr>
                <w:rStyle w:val="839"/>
                <w:sz w:val="26"/>
                <w:szCs w:val="26"/>
              </w:rPr>
              <w:t xml:space="preserve">Гкал/ч)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(Гкал/ч),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6.5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</w:t>
            </w:r>
            <w:r>
              <w:rPr>
                <w:rStyle w:val="839"/>
                <w:sz w:val="26"/>
                <w:szCs w:val="26"/>
              </w:rPr>
              <w:t xml:space="preserve">электрогенерации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(МВт)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(МВт),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7.5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передачи электроэнергии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69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(МВт)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(МВт),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8.5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газоснабжения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(тыс. 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3</w:t>
            </w:r>
            <w:r>
              <w:rPr>
                <w:rStyle w:val="839"/>
                <w:sz w:val="26"/>
                <w:szCs w:val="26"/>
              </w:rPr>
              <w:t xml:space="preserve">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9.5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телекоммуникаций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Установленная мощность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10.5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Объекты технологической или иной инфраструктуры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объекта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right="298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right="1618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Производственные </w:t>
            </w:r>
            <w:r>
              <w:rPr>
                <w:rStyle w:val="839"/>
                <w:sz w:val="26"/>
                <w:szCs w:val="26"/>
              </w:rPr>
              <w:t xml:space="preserve">мощности (операций/месяц)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firstLine="5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Загрузка заказами резидентов (участников) (операций/месяц),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11.6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Площадь объекта (га/м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2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11.7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Использование площадей (га/м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2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11.8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 (га/м</w:t>
            </w:r>
            <w:r>
              <w:rPr>
                <w:rStyle w:val="839"/>
                <w:sz w:val="26"/>
                <w:szCs w:val="26"/>
                <w:vertAlign w:val="superscript"/>
              </w:rPr>
              <w:t xml:space="preserve">2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Строительство дорожной сети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left="5" w:hanging="5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проекта по строительству (реконструкции) дорожной сети (по направлению)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left="5" w:hanging="5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</w:t>
            </w:r>
            <w:r>
              <w:rPr>
                <w:rStyle w:val="839"/>
                <w:sz w:val="26"/>
                <w:szCs w:val="26"/>
              </w:rPr>
              <w:t xml:space="preserve">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left="5" w:right="2054" w:hanging="5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Пропускная способность (тыс. автомобилей/сутки)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left="5" w:hanging="5"/>
              <w:spacing w:line="283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Нагрузка (тыс. автомобилей/сутки),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12.4.4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31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Строительство железнодорожной сети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ind w:left="5" w:hanging="5"/>
              <w:spacing w:line="274" w:lineRule="exact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 проекта по строительству (реконструкции) железных дорог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(по направлению)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Наименование</w:t>
            </w:r>
            <w:r>
              <w:rPr>
                <w:rStyle w:val="839"/>
                <w:sz w:val="26"/>
                <w:szCs w:val="26"/>
              </w:rPr>
              <w:t xml:space="preserve"> (балансодержателя объекта инфраструктуры)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Пропускная способность (тыс. т/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Нагрузка (тыс. т/</w:t>
            </w:r>
            <w:r>
              <w:rPr>
                <w:rStyle w:val="839"/>
                <w:sz w:val="26"/>
                <w:szCs w:val="26"/>
              </w:rPr>
              <w:t xml:space="preserve">сут</w:t>
            </w:r>
            <w:r>
              <w:rPr>
                <w:rStyle w:val="839"/>
                <w:sz w:val="26"/>
                <w:szCs w:val="26"/>
              </w:rPr>
              <w:t xml:space="preserve">),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1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Резидент 2 (специализация)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Иные пользователи, в том числе: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13.4.4.1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Управляющая компания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13.4.4.2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1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13.4.4.3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Пользователь инфраструктуры 2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13.4.4.4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…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dxa"/>
            <w:textDirection w:val="lrTb"/>
            <w:noWrap w:val="false"/>
          </w:tcPr>
          <w:p>
            <w:pPr>
              <w:pStyle w:val="837"/>
              <w:jc w:val="center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13.5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4" w:type="dxa"/>
            <w:textDirection w:val="lrTb"/>
            <w:noWrap w:val="false"/>
          </w:tcPr>
          <w:p>
            <w:pPr>
              <w:pStyle w:val="837"/>
              <w:spacing w:line="240" w:lineRule="auto"/>
              <w:widowControl/>
              <w:rPr>
                <w:rStyle w:val="839"/>
                <w:sz w:val="26"/>
                <w:szCs w:val="26"/>
              </w:rPr>
            </w:pPr>
            <w:r>
              <w:rPr>
                <w:rStyle w:val="839"/>
                <w:sz w:val="26"/>
                <w:szCs w:val="26"/>
              </w:rPr>
              <w:t xml:space="preserve">Резерв</w:t>
            </w:r>
            <w:r>
              <w:rPr>
                <w:rStyle w:val="839"/>
                <w:sz w:val="26"/>
                <w:szCs w:val="26"/>
              </w:rPr>
            </w:r>
            <w:r>
              <w:rPr>
                <w:rStyle w:val="839"/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3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5" w:type="dxa"/>
            <w:textDirection w:val="lrTb"/>
            <w:noWrap w:val="false"/>
          </w:tcPr>
          <w:p>
            <w:pPr>
              <w:pStyle w:val="836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0"/>
      </w:pPr>
      <w:r>
        <w:t xml:space="preserve">_______________________________</w:t>
      </w:r>
      <w:r/>
    </w:p>
    <w:p>
      <w:pPr>
        <w:pStyle w:val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Год начала реализации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</w:t>
      </w:r>
      <w:r>
        <w:rPr>
          <w:rFonts w:ascii="Times New Roman" w:hAnsi="Times New Roman" w:cs="Times New Roman"/>
          <w:sz w:val="24"/>
          <w:szCs w:val="24"/>
        </w:rPr>
        <w:t xml:space="preserve"> Текущий уровень и прогноз потребления резидента парка до 10-го, 15-го или 20-го года реализации проекта (в зависимости от срока предоставления субсидий)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Текущий уровень и прогноз потребления пользователей инфраструктуры (с указанием их наименования), не являющихся резидентами парка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Style7"/>
    <w:basedOn w:val="831"/>
    <w:uiPriority w:val="99"/>
    <w:pPr>
      <w:jc w:val="both"/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36" w:customStyle="1">
    <w:name w:val="Style8"/>
    <w:basedOn w:val="831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37" w:customStyle="1">
    <w:name w:val="Style21"/>
    <w:basedOn w:val="831"/>
    <w:uiPriority w:val="99"/>
    <w:pPr>
      <w:spacing w:after="0" w:line="278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38" w:customStyle="1">
    <w:name w:val="Style22"/>
    <w:basedOn w:val="831"/>
    <w:uiPriority w:val="99"/>
    <w:pPr>
      <w:jc w:val="both"/>
      <w:spacing w:after="0" w:line="276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39" w:customStyle="1">
    <w:name w:val="Font Style34"/>
    <w:basedOn w:val="832"/>
    <w:uiPriority w:val="99"/>
    <w:rPr>
      <w:rFonts w:ascii="Times New Roman" w:hAnsi="Times New Roman" w:cs="Times New Roman"/>
      <w:sz w:val="22"/>
      <w:szCs w:val="22"/>
    </w:rPr>
  </w:style>
  <w:style w:type="paragraph" w:styleId="84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Михайловна</dc:creator>
  <cp:keywords/>
  <dc:description/>
  <cp:revision>11</cp:revision>
  <dcterms:created xsi:type="dcterms:W3CDTF">2024-02-16T09:34:00Z</dcterms:created>
  <dcterms:modified xsi:type="dcterms:W3CDTF">2024-06-27T09:42:12Z</dcterms:modified>
</cp:coreProperties>
</file>